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F1" w:rsidRDefault="007C65F1" w:rsidP="007C65F1">
      <w:pPr>
        <w:rPr>
          <w:b/>
          <w:sz w:val="24"/>
          <w:szCs w:val="24"/>
        </w:rPr>
      </w:pPr>
      <w:r w:rsidRPr="00576CF8">
        <w:rPr>
          <w:b/>
          <w:sz w:val="24"/>
          <w:szCs w:val="24"/>
        </w:rPr>
        <w:t>Expan</w:t>
      </w:r>
      <w:r>
        <w:rPr>
          <w:b/>
          <w:sz w:val="24"/>
          <w:szCs w:val="24"/>
        </w:rPr>
        <w:t>dieren</w:t>
      </w:r>
      <w:r w:rsidRPr="00576CF8">
        <w:rPr>
          <w:b/>
          <w:sz w:val="24"/>
          <w:szCs w:val="24"/>
        </w:rPr>
        <w:t xml:space="preserve"> mit N</w:t>
      </w:r>
      <w:r w:rsidR="00F21CEA">
        <w:rPr>
          <w:b/>
          <w:sz w:val="24"/>
          <w:szCs w:val="24"/>
        </w:rPr>
        <w:t>ICHIA</w:t>
      </w:r>
    </w:p>
    <w:p w:rsidR="007C65F1" w:rsidRDefault="007C65F1" w:rsidP="007C65F1">
      <w:pPr>
        <w:rPr>
          <w:b/>
          <w:sz w:val="24"/>
          <w:szCs w:val="24"/>
        </w:rPr>
      </w:pPr>
    </w:p>
    <w:p w:rsidR="007C65F1" w:rsidRDefault="007C65F1" w:rsidP="007C65F1">
      <w:r>
        <w:t>Die beiden global agierenden Unternehmen Vossloh-Schwa</w:t>
      </w:r>
      <w:r w:rsidR="00F21CEA">
        <w:t xml:space="preserve">be </w:t>
      </w:r>
      <w:proofErr w:type="spellStart"/>
      <w:r w:rsidR="00F21CEA">
        <w:t>Lighting</w:t>
      </w:r>
      <w:proofErr w:type="spellEnd"/>
      <w:r w:rsidR="00F21CEA">
        <w:t xml:space="preserve"> Solutions und NICHIA</w:t>
      </w:r>
      <w:r>
        <w:t xml:space="preserve"> </w:t>
      </w:r>
      <w:r w:rsidRPr="00F9769C">
        <w:t>verstärken ihre seit über 20 Jahren bestehende erfolgreiche Zusammenarbeit mit einem weiteren Ausbau ihrer Geschäftsbeziehungen</w:t>
      </w:r>
      <w:r>
        <w:t xml:space="preserve">. </w:t>
      </w:r>
    </w:p>
    <w:p w:rsidR="007C65F1" w:rsidRDefault="007C65F1" w:rsidP="007C65F1"/>
    <w:p w:rsidR="007C65F1" w:rsidRDefault="007C65F1" w:rsidP="007C65F1">
      <w:r>
        <w:t xml:space="preserve">Mit Wirkung zum 1. April 2016 wird die VS </w:t>
      </w:r>
      <w:proofErr w:type="spellStart"/>
      <w:r>
        <w:t>Lighting</w:t>
      </w:r>
      <w:proofErr w:type="spellEnd"/>
      <w:r>
        <w:t xml:space="preserve"> Solutions Vertrieb</w:t>
      </w:r>
      <w:r w:rsidR="00F21CEA">
        <w:t>sregion für den Handel mit NICHIA</w:t>
      </w:r>
      <w:r>
        <w:t xml:space="preserve"> LEDs auf Gesamteuropa erweitert. </w:t>
      </w:r>
      <w:r w:rsidRPr="00BB5B24">
        <w:t xml:space="preserve">Damit besiegeln </w:t>
      </w:r>
      <w:r>
        <w:t>beide Unternehmen ihre seit 1994</w:t>
      </w:r>
      <w:r w:rsidRPr="00BB5B24">
        <w:t xml:space="preserve"> bestehende erfolgreiche Partnerschaft, die sich </w:t>
      </w:r>
      <w:r>
        <w:t>nun auf sämtliche Länder in der untenstehenden Tabelle</w:t>
      </w:r>
      <w:r w:rsidRPr="00BB5B24">
        <w:t xml:space="preserve"> erstreckt. Mit den </w:t>
      </w:r>
      <w:r>
        <w:t>etablierten lokalen</w:t>
      </w:r>
      <w:r w:rsidRPr="00BB5B24">
        <w:t xml:space="preserve"> Standorten garantiert Vossloh-Schwabe </w:t>
      </w:r>
      <w:proofErr w:type="spellStart"/>
      <w:r w:rsidRPr="00BB5B24">
        <w:t>Lighting</w:t>
      </w:r>
      <w:proofErr w:type="spellEnd"/>
      <w:r w:rsidRPr="00BB5B24">
        <w:t xml:space="preserve"> Solutions eine flächendeckende Präsenz. Nicht zuletzt deshalb ist die Ausweitung der </w:t>
      </w:r>
      <w:r>
        <w:t>Distribution</w:t>
      </w:r>
      <w:r w:rsidRPr="00BB5B24">
        <w:t xml:space="preserve"> </w:t>
      </w:r>
    </w:p>
    <w:p w:rsidR="007C65F1" w:rsidRDefault="007C65F1" w:rsidP="007C65F1">
      <w:r w:rsidRPr="00BB5B24">
        <w:t>auf diese Region eine logische Konsequenz der bewährten Zusammenarbeit.</w:t>
      </w:r>
    </w:p>
    <w:p w:rsidR="007C65F1" w:rsidRDefault="007C65F1" w:rsidP="007C65F1"/>
    <w:p w:rsidR="007C65F1" w:rsidRDefault="007C65F1" w:rsidP="007C65F1">
      <w:r w:rsidRPr="00BB5B24">
        <w:t xml:space="preserve">Vossloh-Schwabe </w:t>
      </w:r>
      <w:proofErr w:type="spellStart"/>
      <w:r w:rsidRPr="00BB5B24">
        <w:t>Lighting</w:t>
      </w:r>
      <w:proofErr w:type="spellEnd"/>
      <w:r w:rsidRPr="00BB5B24">
        <w:t xml:space="preserve"> Solutions </w:t>
      </w:r>
      <w:r w:rsidR="00F21CEA">
        <w:t>wird neben dem NICHIA</w:t>
      </w:r>
      <w:r>
        <w:t xml:space="preserve"> </w:t>
      </w:r>
      <w:r w:rsidRPr="00BB5B24">
        <w:t>Produktspektrum</w:t>
      </w:r>
      <w:r>
        <w:t xml:space="preserve"> </w:t>
      </w:r>
      <w:r w:rsidRPr="00BB5B24">
        <w:t xml:space="preserve"> auch </w:t>
      </w:r>
      <w:r>
        <w:t>seine</w:t>
      </w:r>
      <w:r w:rsidRPr="00BB5B24">
        <w:t xml:space="preserve"> Kompetenz als </w:t>
      </w:r>
      <w:r>
        <w:t>Anbieter von Systemlösungen</w:t>
      </w:r>
      <w:r w:rsidRPr="00BB5B24">
        <w:t xml:space="preserve"> </w:t>
      </w:r>
      <w:r>
        <w:t>den Kunden in bewährter Form zur Verfügung stellen</w:t>
      </w:r>
      <w:r w:rsidRPr="00BB5B24">
        <w:t xml:space="preserve">. </w:t>
      </w:r>
      <w:r w:rsidR="00F21CEA">
        <w:t>Insbeson</w:t>
      </w:r>
      <w:r>
        <w:t xml:space="preserve">dere </w:t>
      </w:r>
      <w:r w:rsidRPr="00BB5B24">
        <w:t>Kunden aus dem</w:t>
      </w:r>
      <w:r>
        <w:t xml:space="preserve"> </w:t>
      </w:r>
      <w:proofErr w:type="spellStart"/>
      <w:r>
        <w:t>Lighting</w:t>
      </w:r>
      <w:proofErr w:type="spellEnd"/>
      <w:r>
        <w:t xml:space="preserve"> und</w:t>
      </w:r>
      <w:r w:rsidRPr="00BB5B24">
        <w:t xml:space="preserve"> Industrial Bereich </w:t>
      </w:r>
      <w:r>
        <w:t>werden die für ihre Applikationen geforderten Komplettlösungen begrüßen.</w:t>
      </w:r>
    </w:p>
    <w:p w:rsidR="007C65F1" w:rsidRDefault="007C65F1" w:rsidP="007C65F1"/>
    <w:p w:rsidR="007C65F1" w:rsidRDefault="007C65F1" w:rsidP="007C65F1">
      <w:r>
        <w:t xml:space="preserve">Beide Unternehmen haben die Expansion der Vertriebsregion begrüßt, die die gute und erfolgreiche Partnerschaft der Vergangenheit zum Ausdruck bringt. „Wir freuen uns auf die erweiterte Geschäftstätigkeit und die damit verbundene Chance gemeinsam zu wachsen, sowie </w:t>
      </w:r>
    </w:p>
    <w:p w:rsidR="007C65F1" w:rsidRDefault="007C65F1" w:rsidP="007C65F1">
      <w:r>
        <w:t xml:space="preserve">auf unsere neuen Kunden“, sagte </w:t>
      </w:r>
      <w:proofErr w:type="spellStart"/>
      <w:r>
        <w:t>Setsuo</w:t>
      </w:r>
      <w:proofErr w:type="spellEnd"/>
      <w:r>
        <w:t xml:space="preserve"> </w:t>
      </w:r>
      <w:proofErr w:type="spellStart"/>
      <w:r>
        <w:t>Mizusawa</w:t>
      </w:r>
      <w:proofErr w:type="spellEnd"/>
      <w:r>
        <w:t>, CEO Vossloh-Schwabe, zu der getroffenen Vereinbarung.</w:t>
      </w:r>
    </w:p>
    <w:p w:rsidR="007C65F1" w:rsidRDefault="007C65F1" w:rsidP="007C65F1"/>
    <w:p w:rsidR="007C65F1" w:rsidRDefault="007C65F1" w:rsidP="007C65F1">
      <w:r>
        <w:t xml:space="preserve">Länder, in denen VS </w:t>
      </w:r>
      <w:proofErr w:type="spellStart"/>
      <w:r>
        <w:t>Lighting</w:t>
      </w:r>
      <w:proofErr w:type="spellEnd"/>
      <w:r>
        <w:t xml:space="preserve"> Solutions ab dem 01. A</w:t>
      </w:r>
      <w:r w:rsidR="00F21CEA">
        <w:t>pril 2016 NICHIA</w:t>
      </w:r>
      <w:r>
        <w:t xml:space="preserve"> LEDs anbietet</w:t>
      </w:r>
      <w:bookmarkStart w:id="0" w:name="_GoBack"/>
      <w:bookmarkEnd w:id="0"/>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270"/>
        <w:gridCol w:w="2393"/>
        <w:gridCol w:w="2137"/>
      </w:tblGrid>
      <w:tr w:rsidR="007C65F1" w:rsidRPr="00114C0D" w:rsidTr="00D608DB">
        <w:tc>
          <w:tcPr>
            <w:tcW w:w="235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Albania</w:t>
            </w:r>
          </w:p>
        </w:tc>
        <w:tc>
          <w:tcPr>
            <w:tcW w:w="2270"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Andorra</w:t>
            </w:r>
          </w:p>
        </w:tc>
        <w:tc>
          <w:tcPr>
            <w:tcW w:w="2393"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Austria</w:t>
            </w:r>
          </w:p>
        </w:tc>
        <w:tc>
          <w:tcPr>
            <w:tcW w:w="213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Belgium</w:t>
            </w:r>
          </w:p>
        </w:tc>
      </w:tr>
      <w:tr w:rsidR="007C65F1" w:rsidRPr="00114C0D" w:rsidTr="00D608DB">
        <w:tc>
          <w:tcPr>
            <w:tcW w:w="4627" w:type="dxa"/>
            <w:gridSpan w:val="2"/>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Bosnia and Herzegovina</w:t>
            </w:r>
          </w:p>
        </w:tc>
        <w:tc>
          <w:tcPr>
            <w:tcW w:w="2393"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Bulgaria</w:t>
            </w:r>
          </w:p>
        </w:tc>
        <w:tc>
          <w:tcPr>
            <w:tcW w:w="213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Croatia</w:t>
            </w:r>
          </w:p>
        </w:tc>
      </w:tr>
      <w:tr w:rsidR="007C65F1" w:rsidRPr="00114C0D" w:rsidTr="00D608DB">
        <w:tc>
          <w:tcPr>
            <w:tcW w:w="235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Cyprus</w:t>
            </w:r>
          </w:p>
        </w:tc>
        <w:tc>
          <w:tcPr>
            <w:tcW w:w="2270"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Czech Republic</w:t>
            </w:r>
          </w:p>
        </w:tc>
        <w:tc>
          <w:tcPr>
            <w:tcW w:w="2393"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Denmark</w:t>
            </w:r>
          </w:p>
        </w:tc>
        <w:tc>
          <w:tcPr>
            <w:tcW w:w="213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Estonia</w:t>
            </w:r>
          </w:p>
        </w:tc>
      </w:tr>
      <w:tr w:rsidR="007C65F1" w:rsidRPr="00114C0D" w:rsidTr="00D608DB">
        <w:tc>
          <w:tcPr>
            <w:tcW w:w="235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Finland</w:t>
            </w:r>
          </w:p>
        </w:tc>
        <w:tc>
          <w:tcPr>
            <w:tcW w:w="2270"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France</w:t>
            </w:r>
          </w:p>
        </w:tc>
        <w:tc>
          <w:tcPr>
            <w:tcW w:w="2393"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Germany</w:t>
            </w:r>
          </w:p>
        </w:tc>
        <w:tc>
          <w:tcPr>
            <w:tcW w:w="213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Greece</w:t>
            </w:r>
          </w:p>
        </w:tc>
      </w:tr>
      <w:tr w:rsidR="007C65F1" w:rsidRPr="00114C0D" w:rsidTr="00D608DB">
        <w:tc>
          <w:tcPr>
            <w:tcW w:w="235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Hungary</w:t>
            </w:r>
          </w:p>
        </w:tc>
        <w:tc>
          <w:tcPr>
            <w:tcW w:w="2270"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Iceland</w:t>
            </w:r>
          </w:p>
        </w:tc>
        <w:tc>
          <w:tcPr>
            <w:tcW w:w="2393"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Ireland</w:t>
            </w:r>
          </w:p>
        </w:tc>
        <w:tc>
          <w:tcPr>
            <w:tcW w:w="213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Italy</w:t>
            </w:r>
          </w:p>
        </w:tc>
      </w:tr>
      <w:tr w:rsidR="007C65F1" w:rsidRPr="00114C0D" w:rsidTr="00D608DB">
        <w:tc>
          <w:tcPr>
            <w:tcW w:w="235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Latvia</w:t>
            </w:r>
          </w:p>
        </w:tc>
        <w:tc>
          <w:tcPr>
            <w:tcW w:w="2270"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Liechtenstein</w:t>
            </w:r>
          </w:p>
        </w:tc>
        <w:tc>
          <w:tcPr>
            <w:tcW w:w="2393"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Lithuania</w:t>
            </w:r>
          </w:p>
        </w:tc>
        <w:tc>
          <w:tcPr>
            <w:tcW w:w="213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Luxembourg</w:t>
            </w:r>
          </w:p>
        </w:tc>
      </w:tr>
      <w:tr w:rsidR="007C65F1" w:rsidRPr="00114C0D" w:rsidTr="00D608DB">
        <w:tc>
          <w:tcPr>
            <w:tcW w:w="235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Macedonia</w:t>
            </w:r>
          </w:p>
        </w:tc>
        <w:tc>
          <w:tcPr>
            <w:tcW w:w="2270"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Malta</w:t>
            </w:r>
          </w:p>
        </w:tc>
        <w:tc>
          <w:tcPr>
            <w:tcW w:w="2393"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p>
        </w:tc>
        <w:tc>
          <w:tcPr>
            <w:tcW w:w="213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Monaco</w:t>
            </w:r>
          </w:p>
        </w:tc>
      </w:tr>
      <w:tr w:rsidR="007C65F1" w:rsidRPr="00114C0D" w:rsidTr="00D608DB">
        <w:tc>
          <w:tcPr>
            <w:tcW w:w="235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Montenegro</w:t>
            </w:r>
          </w:p>
        </w:tc>
        <w:tc>
          <w:tcPr>
            <w:tcW w:w="2270"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Netherlands</w:t>
            </w:r>
          </w:p>
        </w:tc>
        <w:tc>
          <w:tcPr>
            <w:tcW w:w="2393"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Norway</w:t>
            </w:r>
          </w:p>
        </w:tc>
        <w:tc>
          <w:tcPr>
            <w:tcW w:w="213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Poland</w:t>
            </w:r>
          </w:p>
        </w:tc>
      </w:tr>
      <w:tr w:rsidR="007C65F1" w:rsidRPr="00114C0D" w:rsidTr="00D608DB">
        <w:tc>
          <w:tcPr>
            <w:tcW w:w="235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Romania</w:t>
            </w:r>
          </w:p>
        </w:tc>
        <w:tc>
          <w:tcPr>
            <w:tcW w:w="2270"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San Marino</w:t>
            </w:r>
          </w:p>
        </w:tc>
        <w:tc>
          <w:tcPr>
            <w:tcW w:w="2393"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Serbia</w:t>
            </w:r>
          </w:p>
        </w:tc>
        <w:tc>
          <w:tcPr>
            <w:tcW w:w="213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Slovakia</w:t>
            </w:r>
          </w:p>
        </w:tc>
      </w:tr>
      <w:tr w:rsidR="007C65F1" w:rsidRPr="00114C0D" w:rsidTr="00D608DB">
        <w:tc>
          <w:tcPr>
            <w:tcW w:w="235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Slovenia</w:t>
            </w:r>
          </w:p>
        </w:tc>
        <w:tc>
          <w:tcPr>
            <w:tcW w:w="2270"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Sweden</w:t>
            </w:r>
          </w:p>
        </w:tc>
        <w:tc>
          <w:tcPr>
            <w:tcW w:w="2393"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Switzerland</w:t>
            </w:r>
          </w:p>
        </w:tc>
        <w:tc>
          <w:tcPr>
            <w:tcW w:w="2137" w:type="dxa"/>
            <w:shd w:val="clear" w:color="auto" w:fill="auto"/>
          </w:tcPr>
          <w:p w:rsidR="007C65F1" w:rsidRPr="00114C0D" w:rsidRDefault="007C65F1" w:rsidP="00D608DB">
            <w:pPr>
              <w:spacing w:line="240" w:lineRule="auto"/>
              <w:rPr>
                <w:rFonts w:ascii="Calibri" w:eastAsia="MS Mincho" w:hAnsi="Calibri" w:cs="Times New Roman"/>
                <w:sz w:val="20"/>
                <w:szCs w:val="20"/>
                <w:lang w:val="en-US" w:eastAsia="ja-JP"/>
              </w:rPr>
            </w:pPr>
            <w:r w:rsidRPr="00114C0D">
              <w:rPr>
                <w:rFonts w:ascii="Calibri" w:eastAsia="MS Mincho" w:hAnsi="Calibri" w:cs="Times New Roman"/>
                <w:sz w:val="20"/>
                <w:szCs w:val="20"/>
                <w:lang w:val="en-US" w:eastAsia="ja-JP"/>
              </w:rPr>
              <w:t>United Kingdom</w:t>
            </w:r>
          </w:p>
        </w:tc>
      </w:tr>
    </w:tbl>
    <w:p w:rsidR="004875BB" w:rsidRDefault="004875BB"/>
    <w:sectPr w:rsidR="004875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F1"/>
    <w:rsid w:val="004875BB"/>
    <w:rsid w:val="007C65F1"/>
    <w:rsid w:val="00F21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5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5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Doll</dc:creator>
  <cp:lastModifiedBy>Helmut Doll</cp:lastModifiedBy>
  <cp:revision>2</cp:revision>
  <dcterms:created xsi:type="dcterms:W3CDTF">2016-03-10T09:19:00Z</dcterms:created>
  <dcterms:modified xsi:type="dcterms:W3CDTF">2016-03-10T15:51:00Z</dcterms:modified>
</cp:coreProperties>
</file>